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上海市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/>
        </w:rPr>
        <w:t>承插型盘扣式钢管脚手架构配件产品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诚信自律承诺书</w:t>
      </w:r>
    </w:p>
    <w:p>
      <w:pPr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本人以企业法定代表人的身份郑重承诺：本公司依照《上海市建设工程用周转设备材料产品登记换证工作的通知》的要求提出</w:t>
      </w:r>
      <w:r>
        <w:rPr>
          <w:rFonts w:hint="eastAsia" w:ascii="宋体" w:hAnsi="宋体" w:eastAsia="宋体" w:cs="宋体"/>
          <w:sz w:val="24"/>
          <w:szCs w:val="24"/>
        </w:rPr>
        <w:t>申请，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</w:t>
      </w:r>
      <w:r>
        <w:rPr>
          <w:rFonts w:hint="eastAsia" w:ascii="宋体" w:hAnsi="宋体" w:eastAsia="宋体" w:cs="宋体"/>
          <w:sz w:val="24"/>
          <w:szCs w:val="24"/>
        </w:rPr>
        <w:t>交材料真实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合法、有效，并接受上海市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相关行政管理部门及监管机构、</w:t>
      </w:r>
      <w:r>
        <w:rPr>
          <w:rFonts w:hint="eastAsia" w:ascii="宋体" w:hAnsi="宋体" w:eastAsia="宋体" w:cs="宋体"/>
          <w:sz w:val="24"/>
          <w:szCs w:val="24"/>
        </w:rPr>
        <w:t>上海市建筑五金门窗行业协会的管理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和行业指导</w:t>
      </w:r>
      <w:r>
        <w:rPr>
          <w:rFonts w:hint="eastAsia" w:ascii="宋体" w:hAnsi="宋体" w:eastAsia="宋体" w:cs="宋体"/>
          <w:sz w:val="24"/>
          <w:szCs w:val="24"/>
        </w:rPr>
        <w:t>。本企业向建设工程提供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的承插型盘扣式钢管脚手架构配件产品均符合现行国家</w:t>
      </w:r>
      <w:r>
        <w:rPr>
          <w:rFonts w:hint="eastAsia" w:ascii="宋体" w:hAnsi="宋体" w:eastAsia="宋体" w:cs="宋体"/>
          <w:sz w:val="24"/>
          <w:szCs w:val="24"/>
        </w:rPr>
        <w:t>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技术规范。凡检验不合格的产品均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报废处理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本企业</w:t>
      </w:r>
      <w:r>
        <w:rPr>
          <w:rFonts w:hint="eastAsia" w:ascii="宋体" w:hAnsi="宋体" w:eastAsia="宋体" w:cs="宋体"/>
          <w:sz w:val="24"/>
          <w:szCs w:val="24"/>
        </w:rPr>
        <w:t>若提供虚假不实资料或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经营</w:t>
      </w:r>
      <w:r>
        <w:rPr>
          <w:rFonts w:hint="eastAsia" w:ascii="宋体" w:hAnsi="宋体" w:eastAsia="宋体" w:cs="宋体"/>
          <w:sz w:val="24"/>
          <w:szCs w:val="24"/>
        </w:rPr>
        <w:t>的产品不符合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国家标准规范、</w:t>
      </w:r>
      <w:r>
        <w:rPr>
          <w:rFonts w:hint="eastAsia" w:ascii="宋体" w:hAnsi="宋体" w:eastAsia="宋体" w:cs="宋体"/>
          <w:sz w:val="24"/>
          <w:szCs w:val="24"/>
        </w:rPr>
        <w:t>对工程建设产生危害的，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企业将承担由此产生的法律责任和经济责任。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15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公章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法定代表人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(签字）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61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年    月   日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B1A37"/>
    <w:rsid w:val="413B1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2020-09-25T03:36:00Z</dcterms:created>
  <dc:creator>吴国珠</dc:creator>
  <cp:lastModifiedBy>吴国珠</cp:lastModifiedBy>
  <dcterms:modified xsi:type="dcterms:W3CDTF">2020-09-25T03:37:10Z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